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start"/>
        <w:bidi w:val="1"/>
      </w:pPr>
      <w:r>
        <w:rPr>
          <w:rFonts w:ascii="Tajawal" w:hAnsi="Tajawal" w:cs="Tajawal"/>
          <w:color w:val="665470"/>
          <w:sz w:val="20"/>
          <w:rtl w:val="1"/>
        </w:rPr>
        <w:t>يزيد الشهراني   /   موارد صُنّاع الصورة</w:t>
      </w:r>
    </w:p>
    <w:p>
      <w:pPr>
        <w:pStyle w:val="Title"/>
        <w:jc w:val="start"/>
        <w:bidi w:val="1"/>
      </w:pPr>
      <w:r>
        <w:rPr>
          <w:rFonts w:ascii="Tajawal" w:hAnsi="Tajawal" w:cs="Tajawal"/>
          <w:b/>
          <w:color w:val="15121B"/>
          <w:sz w:val="46"/>
          <w:rtl w:val="1"/>
        </w:rPr>
        <w:t>ملخص المشروع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حقيبة تجهيز التصوير   •   الإصدار الثاني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ابدأ هنا قبل حجز المعدات. اتفق مع العميل أو الفريق على الهدف والمخرجات، ثم حدّث الملخص إذا تغير نطاق العمل.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اكتب عدد الملفات ومقاساتها بوضوح. عبارة «محتوى للسوشال» وحدها لا تكفي لتحديد التسليم.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اسم المشروع: ____________________     تاريخ المراجعة: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156"/>
        <w:gridCol w:w="5156"/>
      </w:tblGrid>
      <w:tr>
        <w:trPr>
          <w:cantSplit/>
          <w:tblHeader/>
        </w:trPr>
        <w:tc>
          <w:tcPr>
            <w:tcW w:type="dxa" w:w="294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البيان</w:t>
            </w:r>
          </w:p>
        </w:tc>
        <w:tc>
          <w:tcPr>
            <w:tcW w:type="dxa" w:w="7030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بيانات المشروع</w:t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العميل أو الجهة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هدف المشروع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الجمهور المستهدف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المنصة والمقاسات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المخرجات المتفق عليها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الاتجاه البصري والمراجع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موعد التصوير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موعد التسليم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نطاق العمل والمراجعات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صاحب الاعتماد وطريقة الموافقة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قيود أو متطلبات خاصة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Tajawal" w:hAnsi="Tajawal" w:cs="Tajawal"/>
        <w:sz w:val="20"/>
        <w:rtl w:val="1"/>
      </w:rPr>
      <w:t xml:space="preserve">yazeeds.sa   /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ajawal" w:hAnsi="Tajaw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2E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62E4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2E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62E4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362E4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362E4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362E4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362E44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