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start"/>
        <w:bidi w:val="1"/>
      </w:pPr>
      <w:r>
        <w:rPr>
          <w:rFonts w:ascii="Tajawal" w:hAnsi="Tajawal" w:cs="Tajawal"/>
          <w:color w:val="665470"/>
          <w:sz w:val="20"/>
          <w:rtl w:val="1"/>
        </w:rPr>
        <w:t>يزيد الشهراني   /   موارد صُنّاع الصورة</w:t>
      </w:r>
    </w:p>
    <w:p>
      <w:pPr>
        <w:pStyle w:val="Title"/>
        <w:jc w:val="start"/>
        <w:bidi w:val="1"/>
      </w:pPr>
      <w:r>
        <w:rPr>
          <w:rFonts w:ascii="Tajawal" w:hAnsi="Tajawal" w:cs="Tajawal"/>
          <w:b/>
          <w:color w:val="15121B"/>
          <w:sz w:val="46"/>
          <w:rtl w:val="1"/>
        </w:rPr>
        <w:t>فحص الملفات والتسليم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حقيبة تجهيز التصوير   •   الإصدار الثاني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راجع الملفات قبل مغادرة الموقع، ثم راجع التصدير النهائي وفق الاتفاق. لا تفرمت البطاقات قبل التحقق من النسخ.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افتح ملفات من النسخ وتحقق من اكتمالها. ظهور مجلد باسم المشروع وحده لا يثبت نجاح النسخ.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اسم المشروع: ____________________     تاريخ المراجعة: 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5156"/>
        <w:gridCol w:w="5156"/>
      </w:tblGrid>
      <w:tr>
        <w:trPr>
          <w:cantSplit/>
          <w:tblHeader/>
        </w:trPr>
        <w:tc>
          <w:tcPr>
            <w:tcW w:type="dxa" w:w="2948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البيان</w:t>
            </w:r>
          </w:p>
        </w:tc>
        <w:tc>
          <w:tcPr>
            <w:tcW w:type="dxa" w:w="7030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بيانات المشروع</w:t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قاعدة تسمية الملفات</w:t>
            </w:r>
          </w:p>
        </w:tc>
        <w:tc>
          <w:tcPr>
            <w:tcW w:type="dxa" w:w="7030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مكان النسخ وتاريخ التحقق</w:t>
            </w:r>
          </w:p>
        </w:tc>
        <w:tc>
          <w:tcPr>
            <w:tcW w:type="dxa" w:w="7030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صيغ ومقاسات التسليم</w:t>
            </w:r>
          </w:p>
        </w:tc>
        <w:tc>
          <w:tcPr>
            <w:tcW w:type="dxa" w:w="7030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رابط التسليم وصلاحيته</w:t>
            </w:r>
          </w:p>
        </w:tc>
        <w:tc>
          <w:tcPr>
            <w:tcW w:type="dxa" w:w="7030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  <w:tr>
        <w:trPr>
          <w:cantSplit/>
          <w:trHeight w:val="652"/>
        </w:trPr>
        <w:tc>
          <w:tcPr>
            <w:tcW w:type="dxa" w:w="2948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بنود معلقة قبل التسليم</w:t>
            </w:r>
          </w:p>
        </w:tc>
        <w:tc>
          <w:tcPr>
            <w:tcW w:type="dxa" w:w="7030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6"/>
        <w:gridCol w:w="5156"/>
      </w:tblGrid>
      <w:tr>
        <w:trPr>
          <w:cantSplit/>
          <w:tblHeader/>
        </w:trPr>
        <w:tc>
          <w:tcPr>
            <w:tcW w:type="dxa" w:w="5156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المراجعة</w:t>
            </w:r>
          </w:p>
        </w:tc>
        <w:tc>
          <w:tcPr>
            <w:tcW w:type="dxa" w:w="5156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الحالة والملاحظات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مطابقة اللقطات الأساسية مع القائمة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نسخ الملفات إلى وجهتين مستقلتين والتحقق منها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الإبقاء على البطاقات حتى التحقق من النسخ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تنظيم المجلدات وأسماء النسخ بوضوح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مراجعة الحدة والتعريض والألوان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مراجعة الصوت والتزامن على سماعة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مطابقة المقاسات والمدة والصيغة المطلوبة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مراجعة النصوص والشعارات وحقوق الاستخدام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فتح ملف التصدير ومشاهدته كاملاً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تجربة رابط التسليم وصلاحية الوصول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تأكيد استلام العميل وأرشفة النسخة المعتمدة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start"/>
      <w:bidi w:val="1"/>
    </w:pPr>
    <w:r>
      <w:rPr>
        <w:rFonts w:ascii="Tajawal" w:hAnsi="Tajawal" w:cs="Tajawal"/>
        <w:sz w:val="20"/>
        <w:rtl w:val="1"/>
      </w:rPr>
      <w:t xml:space="preserve">yazeeds.sa   /   </w:t>
    </w: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ajawal" w:hAnsi="Tajaw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2E4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62E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62E4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62E4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62E4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62E4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362E4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62E44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362E44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2E4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362E4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362E4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362E4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362E4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362E4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362E4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362E44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362E44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