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start"/>
        <w:bidi w:val="1"/>
      </w:pPr>
      <w:r>
        <w:rPr>
          <w:rFonts w:ascii="Tajawal" w:hAnsi="Tajawal" w:cs="Tajawal"/>
          <w:color w:val="665470"/>
          <w:sz w:val="20"/>
          <w:rtl w:val="1"/>
        </w:rPr>
        <w:t>يزيد الشهراني   /   موارد صُنّاع الصورة</w:t>
      </w:r>
    </w:p>
    <w:p>
      <w:pPr>
        <w:pStyle w:val="Title"/>
        <w:jc w:val="start"/>
        <w:bidi w:val="1"/>
      </w:pPr>
      <w:r>
        <w:rPr>
          <w:rFonts w:ascii="Tajawal" w:hAnsi="Tajawal" w:cs="Tajawal"/>
          <w:b/>
          <w:color w:val="15121B"/>
          <w:sz w:val="46"/>
          <w:rtl w:val="1"/>
        </w:rPr>
        <w:t>فحص الموقع قبل التصوير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حقيبة تجهيز التصوير   •   الإصدار الثاني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نفّذ زيارة أو مكالمة استطلاع قبل يوم التصوير. وثّق أي بند غير محسوم ومن سيتابع حله.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زر المكان في وقت قريب من موعد التصوير إن أمكن؛ اتجاه الشمس والضجيج قد يختلفان خلال اليوم.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اسم المشروع: ____________________     تاريخ المراجعة: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6"/>
        <w:gridCol w:w="5156"/>
      </w:tblGrid>
      <w:tr>
        <w:trPr>
          <w:cantSplit/>
          <w:tblHeader/>
        </w:trPr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المراجعة</w:t>
            </w:r>
          </w:p>
        </w:tc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الحالة والملاحظات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تأكيد العنوان والمدخل وموعد السماح بالدخول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تأكيد موافقة الموقع والأذونات المطلوبة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تحديد المواقف ومسار نقل المعدات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اختبار الضجيج والتكييف والأجهزة القريبة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معرفة اتجاه الضوء وإمكان التحكم بالنوافذ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الكهرباء والأحمال مع مسؤول مختص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فحص مساحة الكاميرا والإضاءة وحركة الأشخاص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تحديد مخارج الطوارئ وإبقاء مساراتها مفتوحة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تحديد مكان آمن للمعدات والاستراحة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تجهيز بديل للطقس أو تعذر استخدام الموقع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8"/>
        <w:gridCol w:w="2578"/>
        <w:gridCol w:w="2578"/>
        <w:gridCol w:w="2578"/>
      </w:tblGrid>
      <w:tr>
        <w:trPr>
          <w:cantSplit/>
          <w:tblHeader/>
        </w:trPr>
        <w:tc>
          <w:tcPr>
            <w:tcW w:type="dxa" w:w="257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ملاحظة أو عائق</w:t>
            </w:r>
          </w:p>
        </w:tc>
        <w:tc>
          <w:tcPr>
            <w:tcW w:type="dxa" w:w="257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الإجراء المطلوب</w:t>
            </w:r>
          </w:p>
        </w:tc>
        <w:tc>
          <w:tcPr>
            <w:tcW w:type="dxa" w:w="257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المسؤول</w:t>
            </w:r>
          </w:p>
        </w:tc>
        <w:tc>
          <w:tcPr>
            <w:tcW w:type="dxa" w:w="257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الموعد أو الحالة</w:t>
            </w:r>
          </w:p>
        </w:tc>
      </w:tr>
      <w:tr>
        <w:trPr>
          <w:cantSplit/>
        </w:trPr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257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Tajawal" w:hAnsi="Tajawal" w:cs="Tajawal"/>
        <w:sz w:val="20"/>
        <w:rtl w:val="1"/>
      </w:rPr>
      <w:t xml:space="preserve">yazeeds.sa   /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ajawal" w:hAnsi="Tajaw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2E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62E4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2E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62E4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362E4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362E4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362E4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362E44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